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32" w:rsidRDefault="00600D79">
      <w:pPr>
        <w:spacing w:after="0" w:line="259" w:lineRule="auto"/>
        <w:ind w:left="1" w:right="0" w:firstLine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160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293" w:firstLine="0"/>
        <w:jc w:val="right"/>
      </w:pPr>
      <w:r>
        <w:rPr>
          <w:b/>
          <w:sz w:val="27"/>
        </w:rPr>
        <w:t xml:space="preserve">F E D E R A Z I O N E   I T A L I A N A   G I U O C </w:t>
      </w:r>
      <w:proofErr w:type="gramStart"/>
      <w:r>
        <w:rPr>
          <w:b/>
          <w:sz w:val="27"/>
        </w:rPr>
        <w:t>O  H</w:t>
      </w:r>
      <w:proofErr w:type="gramEnd"/>
      <w:r>
        <w:rPr>
          <w:b/>
          <w:sz w:val="27"/>
        </w:rPr>
        <w:t xml:space="preserve"> A N D B A L </w:t>
      </w:r>
      <w:proofErr w:type="spellStart"/>
      <w:r>
        <w:rPr>
          <w:b/>
          <w:sz w:val="27"/>
        </w:rPr>
        <w:t>L</w:t>
      </w:r>
      <w:proofErr w:type="spellEnd"/>
      <w:r>
        <w:rPr>
          <w:b/>
          <w:sz w:val="27"/>
        </w:rPr>
        <w:t xml:space="preserve"> </w:t>
      </w:r>
    </w:p>
    <w:p w:rsidR="00890E32" w:rsidRDefault="00600D79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0" w:line="259" w:lineRule="auto"/>
        <w:ind w:left="7" w:right="0" w:firstLine="0"/>
        <w:jc w:val="center"/>
      </w:pPr>
      <w:r>
        <w:rPr>
          <w:b/>
          <w:sz w:val="27"/>
        </w:rPr>
        <w:t xml:space="preserve">P a l </w:t>
      </w:r>
      <w:proofErr w:type="spellStart"/>
      <w:r>
        <w:rPr>
          <w:b/>
          <w:sz w:val="27"/>
        </w:rPr>
        <w:t>l</w:t>
      </w:r>
      <w:proofErr w:type="spellEnd"/>
      <w:r>
        <w:rPr>
          <w:b/>
          <w:sz w:val="27"/>
        </w:rPr>
        <w:t xml:space="preserve"> a m a n o </w:t>
      </w:r>
    </w:p>
    <w:p w:rsidR="00890E32" w:rsidRDefault="00600D79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81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16"/>
        <w:ind w:left="2155" w:right="2138"/>
        <w:jc w:val="center"/>
      </w:pPr>
      <w:r>
        <w:rPr>
          <w:b/>
          <w:sz w:val="36"/>
        </w:rPr>
        <w:t xml:space="preserve">Area 7 LAZIO-CAMPANIA-MOLISE </w:t>
      </w:r>
    </w:p>
    <w:p w:rsidR="00890E32" w:rsidRDefault="00600D79">
      <w:pPr>
        <w:spacing w:after="81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28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90E32" w:rsidRDefault="00600D79">
      <w:pPr>
        <w:spacing w:after="0" w:line="259" w:lineRule="auto"/>
        <w:ind w:left="8" w:right="0" w:firstLine="0"/>
        <w:jc w:val="center"/>
      </w:pPr>
      <w:r>
        <w:rPr>
          <w:b/>
          <w:sz w:val="30"/>
        </w:rPr>
        <w:t xml:space="preserve">GIUDICE SPORTIVO </w:t>
      </w:r>
    </w:p>
    <w:p w:rsidR="00890E32" w:rsidRDefault="00600D79">
      <w:pPr>
        <w:spacing w:after="23" w:line="259" w:lineRule="auto"/>
        <w:ind w:left="83" w:right="0" w:firstLine="0"/>
        <w:jc w:val="center"/>
      </w:pPr>
      <w:r>
        <w:rPr>
          <w:b/>
          <w:sz w:val="30"/>
        </w:rPr>
        <w:t xml:space="preserve"> </w:t>
      </w:r>
    </w:p>
    <w:p w:rsidR="00890E32" w:rsidRDefault="00600D79">
      <w:pPr>
        <w:pStyle w:val="Titolo1"/>
        <w:spacing w:after="43"/>
        <w:ind w:left="2155" w:right="204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-55373</wp:posOffset>
                </wp:positionH>
                <wp:positionV relativeFrom="paragraph">
                  <wp:posOffset>15803</wp:posOffset>
                </wp:positionV>
                <wp:extent cx="1821815" cy="1012114"/>
                <wp:effectExtent l="0" t="0" r="0" b="0"/>
                <wp:wrapSquare wrapText="bothSides"/>
                <wp:docPr id="7499" name="Group 7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815" cy="1012114"/>
                          <a:chOff x="0" y="0"/>
                          <a:chExt cx="1821815" cy="101211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91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55753" y="808965"/>
                            <a:ext cx="50673" cy="27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0E32" w:rsidRDefault="00600D7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99" style="width:143.45pt;height:79.694pt;position:absolute;mso-position-horizontal-relative:text;mso-position-horizontal:absolute;margin-left:-4.36014pt;mso-position-vertical-relative:text;margin-top:1.24435pt;" coordsize="18218,10121">
                <v:shape id="Picture 9" style="position:absolute;width:18218;height:9137;left:0;top:0;" filled="f">
                  <v:imagedata r:id="rId8"/>
                </v:shape>
                <v:rect id="Rectangle 59" style="position:absolute;width:506;height:2701;left:557;top:8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Comunicato Ufficiale n° 2 del 25/02/2021 </w:t>
      </w:r>
    </w:p>
    <w:p w:rsidR="00890E32" w:rsidRDefault="00600D79">
      <w:pPr>
        <w:spacing w:after="234" w:line="259" w:lineRule="auto"/>
        <w:ind w:left="113" w:right="0" w:firstLine="0"/>
        <w:jc w:val="center"/>
      </w:pPr>
      <w:r>
        <w:rPr>
          <w:b/>
          <w:sz w:val="42"/>
        </w:rPr>
        <w:t xml:space="preserve"> </w:t>
      </w:r>
    </w:p>
    <w:p w:rsidR="00890E32" w:rsidRDefault="00600D79">
      <w:pPr>
        <w:spacing w:after="95" w:line="259" w:lineRule="auto"/>
        <w:ind w:left="4933" w:right="0" w:firstLine="0"/>
        <w:jc w:val="center"/>
      </w:pPr>
      <w:r>
        <w:rPr>
          <w:b/>
          <w:sz w:val="42"/>
        </w:rPr>
        <w:t xml:space="preserve"> </w:t>
      </w:r>
    </w:p>
    <w:p w:rsidR="00890E32" w:rsidRDefault="00600D79">
      <w:pPr>
        <w:spacing w:after="0" w:line="220" w:lineRule="auto"/>
        <w:ind w:left="2410" w:right="2297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b/>
          <w:sz w:val="42"/>
        </w:rPr>
        <w:t xml:space="preserve">  </w:t>
      </w:r>
    </w:p>
    <w:p w:rsidR="00890E32" w:rsidRDefault="00600D79">
      <w:pPr>
        <w:spacing w:after="246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Comunicato Ufficiale N° 2 del 25/02/2021 </w:t>
      </w:r>
    </w:p>
    <w:p w:rsidR="00890E32" w:rsidRDefault="00600D79">
      <w:pPr>
        <w:spacing w:after="256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890E32" w:rsidRDefault="00600D79">
      <w:pPr>
        <w:spacing w:after="219" w:line="259" w:lineRule="auto"/>
        <w:ind w:left="4" w:right="0" w:firstLine="0"/>
        <w:jc w:val="center"/>
      </w:pPr>
      <w:r>
        <w:rPr>
          <w:b/>
          <w:sz w:val="24"/>
        </w:rPr>
        <w:t xml:space="preserve">COMUNICAZIONI UFFICIO ATTIVITA’ AGONISTICA  </w:t>
      </w:r>
    </w:p>
    <w:p w:rsidR="00890E32" w:rsidRDefault="00600D79">
      <w:pPr>
        <w:spacing w:after="303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890E32" w:rsidRDefault="00600D79">
      <w:pPr>
        <w:pStyle w:val="Titolo2"/>
        <w:spacing w:after="221"/>
        <w:ind w:left="16" w:right="2"/>
      </w:pPr>
      <w:r>
        <w:t>SPOSTAMENTI GARA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</w:p>
    <w:p w:rsidR="00890E32" w:rsidRDefault="00600D79">
      <w:pPr>
        <w:spacing w:after="313" w:line="241" w:lineRule="auto"/>
        <w:ind w:left="1" w:firstLine="0"/>
        <w:jc w:val="both"/>
      </w:pPr>
      <w:r>
        <w:t xml:space="preserve">Si rammenta che tutti gli spostamenti gara, successivi alla stesura del calendario ufficiale e relativa pubblicazione sono soggetti alla normativa Federale vigente (vedi Vademecum 2020/2021) e inviata comunicazione all'indirizzo e- mail </w:t>
      </w:r>
      <w:r>
        <w:rPr>
          <w:b/>
          <w:color w:val="000099"/>
        </w:rPr>
        <w:t>a7_uaa@figh.it</w:t>
      </w:r>
      <w:r>
        <w:t xml:space="preserve">. </w:t>
      </w:r>
    </w:p>
    <w:p w:rsidR="00890E32" w:rsidRDefault="00600D79">
      <w:pPr>
        <w:spacing w:after="220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pStyle w:val="Titolo2"/>
        <w:ind w:left="16"/>
      </w:pPr>
      <w:r>
        <w:t>MODALITA’ DI VERSAMENTO DELLE AMMENDE</w:t>
      </w:r>
      <w:r>
        <w:rPr>
          <w:u w:val="none"/>
        </w:rPr>
        <w:t xml:space="preserve">  </w:t>
      </w:r>
    </w:p>
    <w:p w:rsidR="00890E32" w:rsidRDefault="00600D79">
      <w:pPr>
        <w:spacing w:after="220" w:line="259" w:lineRule="auto"/>
        <w:ind w:left="6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ind w:left="-4" w:right="0"/>
      </w:pPr>
      <w:r>
        <w:t xml:space="preserve">Il pagamento delle ammende deve avvenire entro 15 giorni dalla data del Comunicato Ufficiale e dovranno essere effettuati entro i rispettivi termini previsti dal Vademecum 2020/21 ed esclusivamente con le modalità </w:t>
      </w:r>
      <w:r>
        <w:t xml:space="preserve">previste nel gestionale </w:t>
      </w:r>
      <w:proofErr w:type="spellStart"/>
      <w:r>
        <w:t>Coninet</w:t>
      </w:r>
      <w:proofErr w:type="spellEnd"/>
      <w:r>
        <w:rPr>
          <w:rFonts w:ascii="Arial" w:eastAsia="Arial" w:hAnsi="Arial" w:cs="Arial"/>
        </w:rPr>
        <w:t>.</w:t>
      </w:r>
      <w:r>
        <w:t xml:space="preserve"> Alla scadenza di tale termine sarà messa in atto la procedura del prelievo coattivo, con addebito di € 30,00 per spese di segreteria. La mancata corresponsione dell’importo dovuto non consente la disputa della gara in calen</w:t>
      </w:r>
      <w:r>
        <w:t xml:space="preserve">dario immediatamente successiva la scadenza del termine dei 15 giorni, con le conseguenze previste all’ art. 13 del R.A.S.F.  </w:t>
      </w:r>
    </w:p>
    <w:p w:rsidR="00890E32" w:rsidRDefault="00600D79">
      <w:pPr>
        <w:spacing w:after="260" w:line="259" w:lineRule="auto"/>
        <w:ind w:left="2" w:right="0" w:firstLine="0"/>
        <w:jc w:val="center"/>
      </w:pPr>
      <w:r>
        <w:rPr>
          <w:b/>
        </w:rPr>
        <w:t xml:space="preserve">COMUNICAZIONE ALLE SOCIETA’ </w:t>
      </w:r>
    </w:p>
    <w:p w:rsidR="00890E32" w:rsidRDefault="00600D79">
      <w:pPr>
        <w:ind w:left="-4" w:right="0"/>
      </w:pPr>
      <w:r>
        <w:t xml:space="preserve">Come previsto dalla Circolare n. 1/2021 ogni squadra ha l’obbligo di consegnare agli arbitri, nella fase di riconoscimento e predisposizione del referto, la seguente documentazione: </w:t>
      </w:r>
    </w:p>
    <w:p w:rsidR="00890E32" w:rsidRDefault="00600D79">
      <w:pPr>
        <w:numPr>
          <w:ilvl w:val="0"/>
          <w:numId w:val="1"/>
        </w:numPr>
        <w:ind w:right="0" w:hanging="708"/>
      </w:pPr>
      <w:r>
        <w:lastRenderedPageBreak/>
        <w:t xml:space="preserve">Certificato di tesseramento </w:t>
      </w:r>
    </w:p>
    <w:p w:rsidR="00890E32" w:rsidRDefault="00600D79">
      <w:pPr>
        <w:numPr>
          <w:ilvl w:val="0"/>
          <w:numId w:val="1"/>
        </w:numPr>
        <w:ind w:right="0" w:hanging="708"/>
      </w:pPr>
      <w:r>
        <w:t>Elenco gara (da compilare rispettando la ste</w:t>
      </w:r>
      <w:r>
        <w:t xml:space="preserve">ssa sequenza nominativa del successivo Elenco Covid-19 per facilitare agli arbitri le operazioni di verifica) </w:t>
      </w:r>
    </w:p>
    <w:p w:rsidR="00890E32" w:rsidRDefault="00600D79">
      <w:pPr>
        <w:numPr>
          <w:ilvl w:val="0"/>
          <w:numId w:val="1"/>
        </w:numPr>
        <w:ind w:right="0" w:hanging="708"/>
      </w:pPr>
      <w:r>
        <w:t xml:space="preserve">Elenco Covid-19 </w:t>
      </w:r>
    </w:p>
    <w:p w:rsidR="00890E32" w:rsidRDefault="00600D79">
      <w:pPr>
        <w:ind w:left="-4" w:right="0"/>
      </w:pPr>
      <w:r>
        <w:t>In particolare il terzo documento – utilizzando esclusivamente il format contenuto nella suddetta circolare – deve essere sottos</w:t>
      </w:r>
      <w:r>
        <w:t>critto dal Presidente della società e da un medico (il quale deve anche indicare il proprio numero di iscrizione al relativo ordine) responsabile di certificare la negatività al tampone molecolare o antigienico accertata nei tre giorni precedenti per tutti</w:t>
      </w:r>
      <w:r>
        <w:t xml:space="preserve"> i tesserati, giocatori ed ufficiali di squadra, che si intenda iscrivere a referto. </w:t>
      </w:r>
    </w:p>
    <w:p w:rsidR="00890E32" w:rsidRDefault="00600D79">
      <w:pPr>
        <w:ind w:left="-4" w:right="0"/>
      </w:pPr>
      <w:r>
        <w:t xml:space="preserve">Qualora la gara sia posta in calendario in data infrasettimanale ed uno o più tesserati partecipanti alla stessa siano già stati sottoposti al test per una gara del fine </w:t>
      </w:r>
      <w:r>
        <w:t>settimana precedente (in uno qualsiasi dei campionati di serie A1, A2, B e Under 19), quest’ultimo viene riconosciuto valido a condizione che il medico inserisca nello specifico format il suo nominativo specificando campionato e data nella quale è stato te</w:t>
      </w:r>
      <w:r>
        <w:t xml:space="preserve">stato. </w:t>
      </w:r>
    </w:p>
    <w:p w:rsidR="00890E32" w:rsidRDefault="00600D79">
      <w:pPr>
        <w:ind w:left="-4" w:right="0"/>
      </w:pPr>
      <w:r>
        <w:t xml:space="preserve">In presenza del tampone preventivo non è più necessaria la compilazione del “gruppo squadra” in precedenza richiesta. </w:t>
      </w:r>
    </w:p>
    <w:p w:rsidR="00890E32" w:rsidRDefault="00600D79">
      <w:pPr>
        <w:ind w:left="-4" w:right="0"/>
      </w:pPr>
      <w:r>
        <w:t>Si ricorda che ogni attività relativa alla gestione in materia di emergenza sanitaria è posta in capo al Responsabile Covid-19 no</w:t>
      </w:r>
      <w:r>
        <w:t xml:space="preserve">minato dalla società ospitante, secondo quanto previsto dalla Circolare 46/2020 alla quale si rinvia integralmente per quanto attiene alle diverse procedure da porre in essere. </w:t>
      </w:r>
    </w:p>
    <w:p w:rsidR="00890E32" w:rsidRDefault="00600D79">
      <w:pPr>
        <w:spacing w:after="262" w:line="259" w:lineRule="auto"/>
        <w:ind w:left="1" w:right="0" w:firstLine="0"/>
      </w:pPr>
      <w:r>
        <w:t xml:space="preserve"> </w:t>
      </w:r>
    </w:p>
    <w:p w:rsidR="00890E32" w:rsidRDefault="00600D79">
      <w:pPr>
        <w:spacing w:after="260" w:line="259" w:lineRule="auto"/>
        <w:ind w:left="1" w:right="0" w:firstLine="0"/>
      </w:pPr>
      <w:r>
        <w:t xml:space="preserve"> </w:t>
      </w:r>
    </w:p>
    <w:p w:rsidR="00890E32" w:rsidRDefault="00600D79">
      <w:pPr>
        <w:ind w:left="-4" w:right="0"/>
      </w:pPr>
      <w:r>
        <w:t>Si ricorda altresì che è diretta responsabilità del Presidente della Socie</w:t>
      </w:r>
      <w:r>
        <w:t>tà segnalare tempestivamente, ai sensi dell’art. 32, comma 6 del Regolamento Organico, ogni caso di positività riguardante un proprio tesserato, inviando una comunicazione in tal senso esclusivamente all’indirizzo e-mail covid@figh.it ed allegando il relat</w:t>
      </w:r>
      <w:r>
        <w:t xml:space="preserve">ivo referto del tampone (qualora il tesserato sia risultato positivo ad un tampone antigienico, deve essere successivamente inviato anche il referto di quello molecolare). </w:t>
      </w:r>
    </w:p>
    <w:p w:rsidR="00890E32" w:rsidRDefault="00600D79">
      <w:pPr>
        <w:ind w:left="-4" w:right="0"/>
      </w:pPr>
      <w:r>
        <w:t>A seguito di tale comunicazione il tesserato verrà provvisoriamente sospeso dal tes</w:t>
      </w:r>
      <w:r>
        <w:t>seramento per intervenuta inidoneità, che potrà essere ripristinato soltanto a seguito di invio, sempre a covid@figh.it, del referto di avvenuta negativizzazione unitamente ad un nuovo certificato di idoneità all’attività sportiva agonistica redatto dal me</w:t>
      </w:r>
      <w:r>
        <w:t xml:space="preserve">dico a ciò abilitato in data successiva a quella di guarigione dal Covid-19. La società interessata, dopo aver effettuato tali procedure, potrà inserire nell’area riservata del gestionale </w:t>
      </w:r>
      <w:proofErr w:type="spellStart"/>
      <w:r>
        <w:t>Coninet</w:t>
      </w:r>
      <w:proofErr w:type="spellEnd"/>
      <w:r>
        <w:t xml:space="preserve"> la nuova data di scadenza dell’idoneità ed il competente uff</w:t>
      </w:r>
      <w:r>
        <w:t xml:space="preserve">icio tesseramento provvederà al ripristino della validità dello stesso. </w:t>
      </w:r>
    </w:p>
    <w:p w:rsidR="00890E32" w:rsidRDefault="00600D79">
      <w:pPr>
        <w:ind w:left="-4" w:right="0"/>
      </w:pPr>
      <w:r>
        <w:t>In caso di dichiarata positività da parte di uno o più tesserati (atleti o tecnici) la Società interessata potrà fare richiesta di spostamento delle gare a cui tali tesserati sono int</w:t>
      </w:r>
      <w:r>
        <w:t xml:space="preserve">eressati. Il Responsabile UAA di Area valuterà la possibilità di accogliere o meno la richiesta. </w:t>
      </w:r>
    </w:p>
    <w:p w:rsidR="00890E32" w:rsidRDefault="00600D79">
      <w:pPr>
        <w:ind w:left="-4" w:right="0"/>
      </w:pPr>
      <w:r>
        <w:t xml:space="preserve">Disposizioni in materia di gare a porte chiuse </w:t>
      </w:r>
    </w:p>
    <w:p w:rsidR="00890E32" w:rsidRDefault="00600D79">
      <w:pPr>
        <w:ind w:left="-4" w:right="0"/>
      </w:pPr>
      <w:r>
        <w:t xml:space="preserve">Fino a diversa disposizione tutte le gare del campionato si disputano a porte chiuse. </w:t>
      </w:r>
    </w:p>
    <w:p w:rsidR="00890E32" w:rsidRDefault="00600D79">
      <w:pPr>
        <w:ind w:left="-4" w:right="0"/>
      </w:pPr>
      <w:r>
        <w:t>Ai sensi dell’art. 35 d</w:t>
      </w:r>
      <w:r>
        <w:t xml:space="preserve">el RASF possono accedere all’interno dell’impianto: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t xml:space="preserve">tutti coloro i quali risultano iscritti a referto (atleti, ufficiali di squadra, arbitri, commissario e cronometristi)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t xml:space="preserve">le forze dell’ordine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lastRenderedPageBreak/>
        <w:t xml:space="preserve">gli addetti al servizio sanitario 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t xml:space="preserve">i tesserati delle due società che non siano sottoposti ad un provvedimento disciplinare di squalifica o inibizione in corso di esecuzione (in numero non superiore a cinque per squadra) </w:t>
      </w:r>
    </w:p>
    <w:p w:rsidR="00890E32" w:rsidRDefault="00600D79">
      <w:pPr>
        <w:ind w:left="-4" w:right="0"/>
      </w:pPr>
      <w:r>
        <w:t>Tutte le figure sopra indicate non devono essere preventivamente indic</w:t>
      </w:r>
      <w:r>
        <w:t xml:space="preserve">ate e sono naturalmente soggette ad identificazione da parte degli arbitri. </w:t>
      </w:r>
    </w:p>
    <w:p w:rsidR="00890E32" w:rsidRDefault="00600D79">
      <w:pPr>
        <w:ind w:left="-4" w:right="0"/>
      </w:pPr>
      <w:r>
        <w:t xml:space="preserve">Possono altresì accedere: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t xml:space="preserve">i rappresentanti dei mezzi di informazione previa formale preventiva richiesta nominativa formulata da parte della testata che gli stessi rappresentano </w:t>
      </w:r>
      <w:r>
        <w:t xml:space="preserve">– su carta intestata ed allegando copia del tesserino di iscrizione all’Ordine dei Giornalisti – inoltrata al Responsabile UAA di Area che, verificato il possesso dei requisiti, inoltra l’autorizzazione al Responsabile </w:t>
      </w:r>
      <w:proofErr w:type="spellStart"/>
      <w:r>
        <w:t>Covid</w:t>
      </w:r>
      <w:proofErr w:type="spellEnd"/>
      <w:r>
        <w:t xml:space="preserve"> ed alla società ospitante, nonc</w:t>
      </w:r>
      <w:r>
        <w:t xml:space="preserve">hé al designatore arbitrale perché ne informi gli arbitri (sono parimenti ammesse le richieste inviate dalla testata alla società e da quest’ultima inoltrate al Responsabile UAA di Area)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t>un massimo di tre addetti alla comunicazione indicate dalla sola soc</w:t>
      </w:r>
      <w:r>
        <w:t>ietà ospitante (</w:t>
      </w:r>
      <w:proofErr w:type="spellStart"/>
      <w:r>
        <w:t>videoman</w:t>
      </w:r>
      <w:proofErr w:type="spellEnd"/>
      <w:r>
        <w:t xml:space="preserve">, commentatore, fotografo, ecc.) previa formale preventiva richiesta nominativa inoltrata dalla stessa società ospitante al Responsabile UAA di Area che </w:t>
      </w:r>
      <w:proofErr w:type="spellStart"/>
      <w:r>
        <w:t>reinvia</w:t>
      </w:r>
      <w:proofErr w:type="spellEnd"/>
      <w:r>
        <w:t xml:space="preserve"> l’autorizzazione al Responsabile </w:t>
      </w:r>
      <w:proofErr w:type="spellStart"/>
      <w:r>
        <w:t>Covid</w:t>
      </w:r>
      <w:proofErr w:type="spellEnd"/>
      <w:r>
        <w:t xml:space="preserve"> ed alla società ospitante, nonch</w:t>
      </w:r>
      <w:r>
        <w:t xml:space="preserve">é al designatore arbitrale perché ne informi gli arbitri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t xml:space="preserve">un massimo di due addetti alla pulizia del campo </w:t>
      </w:r>
    </w:p>
    <w:p w:rsidR="00890E32" w:rsidRDefault="00890E32">
      <w:pPr>
        <w:sectPr w:rsidR="00890E32">
          <w:headerReference w:type="even" r:id="rId9"/>
          <w:headerReference w:type="default" r:id="rId10"/>
          <w:headerReference w:type="first" r:id="rId11"/>
          <w:pgSz w:w="11906" w:h="16838"/>
          <w:pgMar w:top="682" w:right="1141" w:bottom="1275" w:left="1132" w:header="720" w:footer="720" w:gutter="0"/>
          <w:cols w:space="720"/>
          <w:titlePg/>
        </w:sectPr>
      </w:pPr>
    </w:p>
    <w:p w:rsidR="00890E32" w:rsidRDefault="00600D79">
      <w:pPr>
        <w:spacing w:after="262" w:line="259" w:lineRule="auto"/>
        <w:ind w:left="0" w:right="0" w:firstLine="0"/>
      </w:pPr>
      <w:r>
        <w:lastRenderedPageBreak/>
        <w:t xml:space="preserve"> </w:t>
      </w:r>
    </w:p>
    <w:p w:rsidR="00890E32" w:rsidRDefault="00600D79">
      <w:pPr>
        <w:spacing w:after="260" w:line="259" w:lineRule="auto"/>
        <w:ind w:left="0" w:right="0" w:firstLine="0"/>
      </w:pPr>
      <w:r>
        <w:t xml:space="preserve"> </w:t>
      </w:r>
    </w:p>
    <w:p w:rsidR="00890E32" w:rsidRDefault="00600D79">
      <w:pPr>
        <w:numPr>
          <w:ilvl w:val="0"/>
          <w:numId w:val="2"/>
        </w:numPr>
        <w:ind w:right="0" w:hanging="708"/>
      </w:pPr>
      <w:r>
        <w:t xml:space="preserve">i dirigenti federali accreditati dalla Federazione o dal Responsabile di Area che inoltrano l’autorizzazione al Responsabile </w:t>
      </w:r>
      <w:proofErr w:type="spellStart"/>
      <w:r>
        <w:t>Covid</w:t>
      </w:r>
      <w:proofErr w:type="spellEnd"/>
      <w:r>
        <w:t xml:space="preserve"> ed alla società ospitante, nonché al designatore arbitrale perché ne informi gli arbitri </w:t>
      </w:r>
    </w:p>
    <w:p w:rsidR="00890E32" w:rsidRDefault="00600D79">
      <w:pPr>
        <w:ind w:left="-4" w:right="0"/>
      </w:pPr>
      <w:r>
        <w:t>Tutte le figure sopra indicate sono</w:t>
      </w:r>
      <w:r>
        <w:t xml:space="preserve"> naturalmente soggette ad identificazione da parte degli arbitri. </w:t>
      </w:r>
    </w:p>
    <w:p w:rsidR="00890E32" w:rsidRDefault="00600D79">
      <w:pPr>
        <w:ind w:left="-4" w:right="0"/>
      </w:pPr>
      <w:r>
        <w:t xml:space="preserve">Si ricorda che tutte le figure sopra indicate possono essere autorizzate ad accedere all’interno dell’impianto sportivo per espletare le funzioni di propria competenza, e pertanto mai come </w:t>
      </w:r>
      <w:r>
        <w:t xml:space="preserve">pubblico. Da questo fatto consegue l’obbligo di mantenere sempre un comportamento consono, astenendosi assolutamente da atteggiamenti riconducibili in qualsiasi modo a manifestazioni di “tifo sportivo”. </w:t>
      </w:r>
    </w:p>
    <w:p w:rsidR="00890E32" w:rsidRDefault="00600D79">
      <w:pPr>
        <w:spacing w:after="0"/>
        <w:ind w:left="-4" w:right="0"/>
      </w:pPr>
      <w:r>
        <w:t>ATTENZIONE: Tutte le società sono invitate a comunic</w:t>
      </w:r>
      <w:r>
        <w:t xml:space="preserve">are tempestivamente eventuali specifiche disposizioni particolari emanate dalle competenti autorità locali, sia in materia di emergenza Covid-19 sia in materia di gare a porte chiuse, che dovessero determinate ulteriori limitazioni rispetto alle procedure </w:t>
      </w:r>
      <w:r>
        <w:t xml:space="preserve">sopra richiamate. </w:t>
      </w:r>
    </w:p>
    <w:p w:rsidR="00890E32" w:rsidRDefault="00600D79">
      <w:pPr>
        <w:spacing w:after="0" w:line="259" w:lineRule="auto"/>
        <w:ind w:left="0" w:right="0" w:firstLine="0"/>
      </w:pPr>
      <w:r>
        <w:t xml:space="preserve"> </w:t>
      </w:r>
    </w:p>
    <w:p w:rsidR="00890E32" w:rsidRDefault="00600D79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890E32" w:rsidRDefault="00600D79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890E32" w:rsidRDefault="00600D79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890E32" w:rsidRDefault="00600D79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890E32" w:rsidRDefault="00600D79">
      <w:pPr>
        <w:spacing w:after="307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890E32" w:rsidRDefault="00600D79">
      <w:pPr>
        <w:spacing w:after="253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3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0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25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pStyle w:val="Titolo2"/>
        <w:spacing w:after="256"/>
        <w:ind w:left="0" w:right="50" w:firstLine="0"/>
      </w:pPr>
      <w:r>
        <w:rPr>
          <w:rFonts w:ascii="Cambria" w:eastAsia="Cambria" w:hAnsi="Cambria" w:cs="Cambria"/>
          <w:sz w:val="24"/>
          <w:u w:val="none"/>
        </w:rPr>
        <w:lastRenderedPageBreak/>
        <w:t xml:space="preserve">SERIE B MASCHILE LAZIO - CAMPANIA - MOLISE  </w:t>
      </w:r>
    </w:p>
    <w:p w:rsidR="00890E32" w:rsidRDefault="00600D79">
      <w:pPr>
        <w:spacing w:after="7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751" w:type="dxa"/>
        <w:tblInd w:w="-56" w:type="dxa"/>
        <w:tblCellMar>
          <w:top w:w="35" w:type="dxa"/>
          <w:left w:w="5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032"/>
        <w:gridCol w:w="6640"/>
        <w:gridCol w:w="1228"/>
      </w:tblGrid>
      <w:tr w:rsidR="00890E32">
        <w:trPr>
          <w:trHeight w:val="397"/>
        </w:trPr>
        <w:tc>
          <w:tcPr>
            <w:tcW w:w="8524" w:type="dxa"/>
            <w:gridSpan w:val="3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nil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^ Giornata di Andata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1A1A1"/>
              <w:left w:val="nil"/>
              <w:bottom w:val="single" w:sz="6" w:space="0" w:color="A1A1A1"/>
              <w:right w:val="single" w:sz="6" w:space="0" w:color="A1A1A1"/>
            </w:tcBorders>
          </w:tcPr>
          <w:p w:rsidR="00890E32" w:rsidRDefault="00890E32">
            <w:pPr>
              <w:spacing w:after="160" w:line="259" w:lineRule="auto"/>
              <w:ind w:left="0" w:right="0" w:firstLine="0"/>
            </w:pPr>
          </w:p>
        </w:tc>
      </w:tr>
      <w:tr w:rsidR="00890E32">
        <w:trPr>
          <w:trHeight w:val="578"/>
        </w:trPr>
        <w:tc>
          <w:tcPr>
            <w:tcW w:w="85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NR. GARA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4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INCONTRO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</w:tcPr>
          <w:p w:rsidR="00890E32" w:rsidRDefault="00600D79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RISULTATO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E32">
        <w:trPr>
          <w:trHeight w:val="349"/>
        </w:trPr>
        <w:tc>
          <w:tcPr>
            <w:tcW w:w="85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30184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21/02/2021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4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GAETA SPORTING CLUB - ENDAS CAPUA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27 - 21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90E32" w:rsidRDefault="00600D79">
      <w:pPr>
        <w:spacing w:after="262" w:line="259" w:lineRule="auto"/>
        <w:ind w:left="1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5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Classifica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51" w:type="dxa"/>
        <w:tblInd w:w="-56" w:type="dxa"/>
        <w:tblCellMar>
          <w:top w:w="24" w:type="dxa"/>
          <w:left w:w="5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545"/>
        <w:gridCol w:w="742"/>
        <w:gridCol w:w="564"/>
        <w:gridCol w:w="965"/>
        <w:gridCol w:w="554"/>
        <w:gridCol w:w="487"/>
        <w:gridCol w:w="598"/>
        <w:gridCol w:w="798"/>
      </w:tblGrid>
      <w:tr w:rsidR="00890E32">
        <w:trPr>
          <w:trHeight w:val="349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Squadra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Giocate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Vinte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Pareggiate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Perse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Fatti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Subiti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Penalita'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E32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GAETA SPORTING CLUB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E32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ENDAS CAPUA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E32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ATELLANA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E32">
        <w:trPr>
          <w:trHeight w:val="348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NEW HANDBALL CAPUA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E32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FLAVIONI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0E32">
        <w:trPr>
          <w:trHeight w:val="352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SANNIO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890E32" w:rsidRDefault="00600D79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890E32" w:rsidRDefault="00600D79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890E32" w:rsidRDefault="00600D79">
      <w:pPr>
        <w:spacing w:after="61" w:line="246" w:lineRule="auto"/>
        <w:ind w:left="4819" w:right="6" w:firstLine="0"/>
        <w:jc w:val="right"/>
      </w:pPr>
      <w:r>
        <w:rPr>
          <w:b/>
        </w:rPr>
        <w:t xml:space="preserve"> </w:t>
      </w:r>
      <w:r>
        <w:rPr>
          <w:sz w:val="18"/>
        </w:rPr>
        <w:t xml:space="preserve"> </w:t>
      </w:r>
    </w:p>
    <w:p w:rsidR="00890E32" w:rsidRDefault="00600D79">
      <w:pPr>
        <w:spacing w:after="275" w:line="259" w:lineRule="auto"/>
        <w:ind w:left="10" w:right="37"/>
        <w:jc w:val="right"/>
      </w:pPr>
      <w:r>
        <w:rPr>
          <w:sz w:val="18"/>
        </w:rPr>
        <w:t>Ufficio Attività Agonistica Territoriale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90E32" w:rsidRDefault="00600D79">
      <w:pPr>
        <w:pStyle w:val="Titolo2"/>
        <w:spacing w:after="212"/>
        <w:ind w:left="0" w:right="53" w:firstLine="0"/>
      </w:pPr>
      <w:r>
        <w:rPr>
          <w:sz w:val="26"/>
          <w:u w:val="none"/>
        </w:rPr>
        <w:t xml:space="preserve">________________________________ </w:t>
      </w:r>
    </w:p>
    <w:p w:rsidR="00890E32" w:rsidRDefault="00600D79">
      <w:pPr>
        <w:spacing w:after="257" w:line="259" w:lineRule="auto"/>
        <w:ind w:left="0" w:right="47" w:firstLine="0"/>
        <w:jc w:val="center"/>
      </w:pPr>
      <w:r>
        <w:rPr>
          <w:b/>
          <w:sz w:val="21"/>
        </w:rPr>
        <w:t xml:space="preserve">DECISIONI DEL GIUDICE SPORTIVO </w:t>
      </w:r>
    </w:p>
    <w:p w:rsidR="00890E32" w:rsidRDefault="00600D79">
      <w:pPr>
        <w:spacing w:after="228" w:line="259" w:lineRule="auto"/>
        <w:ind w:left="0" w:right="0" w:firstLine="0"/>
      </w:pPr>
      <w:r>
        <w:rPr>
          <w:b/>
          <w:sz w:val="21"/>
        </w:rPr>
        <w:t xml:space="preserve">NESSUN PROVVEDIMENTO </w:t>
      </w:r>
    </w:p>
    <w:p w:rsidR="00890E32" w:rsidRDefault="00600D79">
      <w:pPr>
        <w:spacing w:after="3" w:line="237" w:lineRule="auto"/>
        <w:ind w:left="9639" w:right="6" w:firstLine="0"/>
        <w:jc w:val="center"/>
      </w:pPr>
      <w:r>
        <w:rPr>
          <w:sz w:val="18"/>
        </w:rPr>
        <w:t xml:space="preserve">  </w:t>
      </w:r>
    </w:p>
    <w:p w:rsidR="00890E32" w:rsidRDefault="00600D79">
      <w:pPr>
        <w:spacing w:after="0" w:line="259" w:lineRule="auto"/>
        <w:ind w:left="10" w:right="37"/>
        <w:jc w:val="right"/>
      </w:pPr>
      <w:r>
        <w:rPr>
          <w:sz w:val="18"/>
        </w:rPr>
        <w:t xml:space="preserve">Il Giudice Sportivo Territoriale  </w:t>
      </w:r>
    </w:p>
    <w:p w:rsidR="00890E32" w:rsidRDefault="00600D79">
      <w:pPr>
        <w:spacing w:after="0" w:line="259" w:lineRule="auto"/>
        <w:ind w:left="0" w:right="0" w:firstLine="0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Avv. Gennaro Greco </w:t>
      </w:r>
    </w:p>
    <w:p w:rsidR="00890E32" w:rsidRDefault="00600D79">
      <w:pPr>
        <w:spacing w:after="343" w:line="237" w:lineRule="auto"/>
        <w:ind w:left="0" w:right="9645" w:firstLine="0"/>
      </w:pPr>
      <w:r>
        <w:rPr>
          <w:sz w:val="18"/>
        </w:rPr>
        <w:t xml:space="preserve">  </w:t>
      </w:r>
    </w:p>
    <w:p w:rsidR="00890E32" w:rsidRDefault="00600D79">
      <w:pPr>
        <w:spacing w:after="246" w:line="259" w:lineRule="auto"/>
        <w:ind w:left="3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90E32" w:rsidRDefault="00600D79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90E32">
      <w:headerReference w:type="even" r:id="rId12"/>
      <w:headerReference w:type="default" r:id="rId13"/>
      <w:headerReference w:type="first" r:id="rId14"/>
      <w:pgSz w:w="11906" w:h="16838"/>
      <w:pgMar w:top="1968" w:right="1085" w:bottom="1286" w:left="1133" w:header="6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D79" w:rsidRDefault="00600D79">
      <w:pPr>
        <w:spacing w:after="0" w:line="240" w:lineRule="auto"/>
      </w:pPr>
      <w:r>
        <w:separator/>
      </w:r>
    </w:p>
  </w:endnote>
  <w:endnote w:type="continuationSeparator" w:id="0">
    <w:p w:rsidR="00600D79" w:rsidRDefault="0060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D79" w:rsidRDefault="00600D79">
      <w:pPr>
        <w:spacing w:after="0" w:line="240" w:lineRule="auto"/>
      </w:pPr>
      <w:r>
        <w:separator/>
      </w:r>
    </w:p>
  </w:footnote>
  <w:footnote w:type="continuationSeparator" w:id="0">
    <w:p w:rsidR="00600D79" w:rsidRDefault="00600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32" w:rsidRDefault="00890E32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32" w:rsidRDefault="00600D79">
    <w:pPr>
      <w:spacing w:after="0" w:line="259" w:lineRule="auto"/>
      <w:ind w:left="1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142" w:line="259" w:lineRule="auto"/>
      <w:ind w:left="1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0" w:line="259" w:lineRule="auto"/>
      <w:ind w:left="1" w:right="0" w:firstLine="0"/>
    </w:pPr>
    <w:r>
      <w:rPr>
        <w:rFonts w:ascii="Cambria" w:eastAsia="Cambria" w:hAnsi="Cambria" w:cs="Cambria"/>
        <w:b/>
        <w:sz w:val="24"/>
      </w:rPr>
      <w:t>Comunicato Ufficiale N° 2 del 25/02/2021</w:t>
    </w:r>
    <w:r>
      <w:rPr>
        <w:rFonts w:ascii="Cambria" w:eastAsia="Cambria" w:hAnsi="Cambria" w:cs="Cambria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32" w:rsidRDefault="00890E32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32" w:rsidRDefault="00600D7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142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sz w:val="24"/>
      </w:rPr>
      <w:t>Comunicato Ufficiale N° 2 del 25/02/2021</w:t>
    </w:r>
    <w:r>
      <w:rPr>
        <w:rFonts w:ascii="Cambria" w:eastAsia="Cambria" w:hAnsi="Cambria" w:cs="Cambria"/>
        <w:b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32" w:rsidRDefault="00600D7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142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sz w:val="24"/>
      </w:rPr>
      <w:t>Comunicato Ufficiale N° 2 del 25/02/2021</w:t>
    </w:r>
    <w:r>
      <w:rPr>
        <w:rFonts w:ascii="Cambria" w:eastAsia="Cambria" w:hAnsi="Cambria" w:cs="Cambria"/>
        <w:b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E32" w:rsidRDefault="00600D79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142" w:line="259" w:lineRule="auto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890E32" w:rsidRDefault="00600D79">
    <w:pPr>
      <w:spacing w:after="0" w:line="259" w:lineRule="auto"/>
      <w:ind w:left="0" w:right="0" w:firstLine="0"/>
    </w:pPr>
    <w:r>
      <w:rPr>
        <w:rFonts w:ascii="Cambria" w:eastAsia="Cambria" w:hAnsi="Cambria" w:cs="Cambria"/>
        <w:b/>
        <w:sz w:val="24"/>
      </w:rPr>
      <w:t>Comunicato Ufficiale N° 2 del 25/02/2021</w:t>
    </w:r>
    <w:r>
      <w:rPr>
        <w:rFonts w:ascii="Cambria" w:eastAsia="Cambria" w:hAnsi="Cambria" w:cs="Cambri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3237"/>
    <w:multiLevelType w:val="hybridMultilevel"/>
    <w:tmpl w:val="57224578"/>
    <w:lvl w:ilvl="0" w:tplc="A3B27298">
      <w:start w:val="1"/>
      <w:numFmt w:val="bullet"/>
      <w:lvlText w:val="-"/>
      <w:lvlJc w:val="left"/>
      <w:pPr>
        <w:ind w:left="7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ACCA2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E41AA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8AAB82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3CD9C4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2C9DC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D8FFD4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72456C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8A2514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CA0EA8"/>
    <w:multiLevelType w:val="hybridMultilevel"/>
    <w:tmpl w:val="FDA2D92A"/>
    <w:lvl w:ilvl="0" w:tplc="BA7E1206">
      <w:start w:val="1"/>
      <w:numFmt w:val="bullet"/>
      <w:lvlText w:val="-"/>
      <w:lvlJc w:val="left"/>
      <w:pPr>
        <w:ind w:left="7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42DCCC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C0CDC6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EB4E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0C2842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6AEEA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BAD63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F056B4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30125C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32"/>
    <w:rsid w:val="00600D79"/>
    <w:rsid w:val="00890E32"/>
    <w:rsid w:val="008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6A396-2CDD-4C8F-BB67-3011F427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1" w:line="248" w:lineRule="auto"/>
      <w:ind w:left="11" w:right="813" w:hanging="10"/>
    </w:pPr>
    <w:rPr>
      <w:rFonts w:ascii="Georgia" w:eastAsia="Georgia" w:hAnsi="Georgia" w:cs="Georgi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 w:line="248" w:lineRule="auto"/>
      <w:ind w:left="17" w:hanging="10"/>
      <w:jc w:val="center"/>
      <w:outlineLvl w:val="0"/>
    </w:pPr>
    <w:rPr>
      <w:rFonts w:ascii="Georgia" w:eastAsia="Georgia" w:hAnsi="Georgia" w:cs="Georgia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"/>
      <w:ind w:left="14" w:hanging="10"/>
      <w:jc w:val="center"/>
      <w:outlineLvl w:val="1"/>
    </w:pPr>
    <w:rPr>
      <w:rFonts w:ascii="Georgia" w:eastAsia="Georgia" w:hAnsi="Georgia" w:cs="Georgia"/>
      <w:b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Georgia" w:eastAsia="Georgia" w:hAnsi="Georgia" w:cs="Georgia"/>
      <w:b/>
      <w:color w:val="000000"/>
      <w:sz w:val="20"/>
      <w:u w:val="single" w:color="000000"/>
    </w:rPr>
  </w:style>
  <w:style w:type="character" w:customStyle="1" w:styleId="Titolo1Carattere">
    <w:name w:val="Titolo 1 Carattere"/>
    <w:link w:val="Titolo1"/>
    <w:rPr>
      <w:rFonts w:ascii="Georgia" w:eastAsia="Georgia" w:hAnsi="Georgia" w:cs="Georgia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Stampa Comunicato</vt:lpstr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 Comunicato</dc:title>
  <dc:subject/>
  <dc:creator>area</dc:creator>
  <cp:keywords/>
  <cp:lastModifiedBy>antonio viola</cp:lastModifiedBy>
  <cp:revision>2</cp:revision>
  <dcterms:created xsi:type="dcterms:W3CDTF">2021-03-14T18:36:00Z</dcterms:created>
  <dcterms:modified xsi:type="dcterms:W3CDTF">2021-03-14T18:36:00Z</dcterms:modified>
</cp:coreProperties>
</file>